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ATOS DO TRIBUNAL DE CONTAS DA UNIÃO</w:t>
      </w:r>
    </w:p>
    <w:p/>
    <w:p/>
    <w:p>
      <w:r>
        <w:t xml:space="preserve">O SERVIÇO DE ILUMINAÇÃO PÚBLICA NÃO PODE SER REMUNERADO MEDIANTE TAXA.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SERVIDORES PÚBLICOS E OS TRABALHADORES EM GERAL TÊM DIREITO, NO QUE CONCERNE À URP DE ABRIL/MAIO DE 1988, APENAS AO VALOR CORRESPONDENTE A 7/30 DE 16,19% SOBRE OS VENCIMENTOS E SALÁRIOS PERTINENTES AOS MESES DE ABRIL E MAIO DE 1988, NÃO CUMULATIVAMENTE, DEVIDAMENTE CORRIGIDO ATÉ O EFETIVO PAGAMENTO. O REAJUSTE DE 28,86%, CONCEDIDO AOS SERVIDORES MILITARES PELAS LEIS 8.662/93 E 8.627/93, ESTENDE-SE AOS SERVIDORES CIVIS DO PODER EXECUTIVO, OBSERVADAS AS EVENTUAIS COMPENSAÇÕES DECORRENTES DOS REAJUSTES DIFERENCIADOS CONCEDIDOS PELOS MESMOS DIPLOMAS LEGAIS.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2026-07-28T02:14:24.276Z</dcterms:created>
  <dcterms:modified xsi:type="dcterms:W3CDTF">2026-07-28T02:14:24.276Z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