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ATOS DO TRIBUNAL DE CONTAS DA UNIÃO</w:t>
      </w:r>
    </w:p>
    <w:p/>
    <w:p/>
    <w:p>
      <w:r>
        <w:t xml:space="preserve">ATÉ QUE LEI VENHA A DISPOR A RESPEITO, INCUMBE AO MINISTÉRIO DO TRABALHO PROCEDER AO REGISTRO DAS ENTIDADES SINDICAIS E ZELAR PELA OBSERVÂNCIA DO PRINCÍPIO DA UNICIDADE.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INCONSTITUCIONAIS OS INCISOS I E III DO ART. 7º DA LEI 8.162/91, QUE AFASTAM, PARA EFEITO DE ANUÊNIO E DE LICENÇA-PRÊMIO, A CONTAGEM DO TEMPO DE SERVIÇO REGIDO PELA CLT DOS SERVIDORES QUE PASSARAM A SUBMETER-SE AO REGIME JURÍDICO ÚNICO.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2026-07-28T00:31:58.452Z</dcterms:created>
  <dcterms:modified xsi:type="dcterms:W3CDTF">2026-07-28T00:31:58.452Z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