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ATOS DO TRIBUNAL DE CONTAS DA UNIÃO</w:t>
      </w:r>
    </w:p>
    <w:p/>
    <w:p/>
    <w:p>
      <w:r>
        <w:t xml:space="preserve">O EFEITO DEVOLUTIVO DA APELAÇÃO CONTRA DECISÕES DO JÚRI É ADSTRITO AOS FUNDAMENTOS DA SUA INTERPOSIÇÃO.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CONCORRENTE A LEGITIMIDADE DO OFENDIDO, MEDIANTE QUEIXA, E DO MINISTÉRIO PÚBLICO, CONDICIONADA À REPRESENTAÇÃO DO OFENDIDO, PARA A AÇÃO PENAL POR CRIME CONTRA A HONRA DE SERVIDOR PÚBLICO EM RAZÃO DO EXERCÍCIO DE SUAS FUNÇÕES. A PENA UNIFICADA PARA ATENDER AO LIMITE DE TRINTA ANOS DE CUMPRIMENTO, DETERMINADO PELO ART. 75 DO CÓDIGO PENAL, NÃO É CONSIDERADA PARA A CONCESSÃO DE OUTROS BENEFÍCIOS, COMO O LIVRAMENTO CONDICIONAL OU REGIME MAIS FAVORÁVEL DE EXECUÇÃO.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2026-07-27T23:51:29.577Z</dcterms:created>
  <dcterms:modified xsi:type="dcterms:W3CDTF">2026-07-27T23:51:29.577Z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