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ATOS DO TRIBUNAL DE CONTAS DA UNIÃO</w:t>
      </w:r>
    </w:p>
    <w:p/>
    <w:p/>
    <w:p>
      <w:r>
        <w:t xml:space="preserve">A IMPOSIÇÃO DO REGIME DE CUMPRIMENTO MAIS SEVERO DO QUE A PENA APLICADA PERMITIR EXIGE MOTIVAÇÃO IDÔNEA.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309 DO CÓDIGO DE TRÂNSITO BRASILEIRO, QUE RECLAMA DECORRA DO FATO PERIGO DE DANO, DERROGOU O ART. 32 DA LEI DAS CONTRAVENÇÕES PENAIS NO TOCANTE À DIREÇÃO SEM HABILITAÇÃO EM VIAS TERRESTRES.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2026-10-26T04:33:53.533Z</dcterms:created>
  <dcterms:modified xsi:type="dcterms:W3CDTF">2026-10-26T04:33:53.533Z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