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MANDADO DE SEGURANÇA</w:t>
      </w:r>
    </w:p>
    <w:p>
      <w:r>
        <w:rPr>
          <w:i/>
          <w:iCs/>
          <w:color w:val="666666"/>
        </w:rPr>
        <w:t xml:space="preserve">ATOS DO TRIBUNAL DE CONTAS DA UNIÃO</w:t>
      </w:r>
    </w:p>
    <w:p/>
    <w:p/>
    <w:p>
      <w:r>
        <w:t xml:space="preserve">NÃO SE ADMITE A SUSPENSÃO CONDICIONAL DO PROCESSO POR CRIME CONTINUADO, SE A SOMA DA PENA MÍNIMA DA INFRAÇÃO MAIS GRAVE COM O AUMENTO MÍNIMO DE UM SEXTO FOR SUPERIOR A UM ANO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AINDA QUANDO ALUGADO A TERCEIROS, PERMANECE IMUNE AO IPTU O IMÓVEL PERTENCENTE A QUALQUER DAS ENTIDADES REFERIDAS PELO ART. 150, VI, C, DA CONSTITUIÇÃO, DESDE QUE O VALOR DOS ALUGUÉIS SEJA APLICADO NAS ATIVIDADES ESSENCIAIS DE TAIS ENTIDADES. É CONSTITUCIONAL O § 2º DO ART. 6º DA LEI 8.024/90, RESULTANTE DA CONVERSÃO DA MP 168/90, QUE FIXOU O BTN FISCAL COMO ÍNDICE DE CORREÇÃO MONETÁRIA APLICÁVEL AOS DEPÓSITOS BLOQUEADOS PELO PLANO COLLOR I.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2026-10-26T02:33:33.431Z</dcterms:created>
  <dcterms:modified xsi:type="dcterms:W3CDTF">2026-10-26T02:33:33.431Z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