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ATOS DO TRIBUNAL DE CONTAS DA UNIÃO</w:t>
      </w:r>
    </w:p>
    <w:p/>
    <w:p/>
    <w:p>
      <w:r>
        <w:t xml:space="preserve">A DECISÃO NA ADC-4 NÃO SE APLICA À ANTECIPAÇÃO DE TUTELA EM CAUSA DE NATUREZA PREVIDENCIÁRIA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IMUNIDADE TRIBUTÁRIA CONFERIDA A INSTITUIÇÕES DE ASSISTÊNCIA SOCIAL SEM FINS LUCRATIVOS PELO ART. 150, VI, C, DA CONSTITUIÇÃO, SOMENTE ALCANÇA AS ENTIDADES FECHADAS DE PREVIDÊNCIA SOCIAL PRIVADA SE NÃO HOUVER CONTRIBUIÇÃO DOS BENEFICIÁRIOS.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2026-07-28T00:19:14.436Z</dcterms:created>
  <dcterms:modified xsi:type="dcterms:W3CDTF">2026-07-28T00:19:14.436Z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