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ATOS DO TRIBUNAL DE CONTAS DA UNIÃO</w:t>
      </w:r>
    </w:p>
    <w:p/>
    <w:p/>
    <w:p>
      <w:r>
        <w:t xml:space="preserve">É ADMISSÍVEL A OPOSIÇÃO DE EMBARGOS DE TERCEIRO FUNDADOS EM ALEGAÇÃO DA POSSE ADVINDA DO COMPROMISSO DE COMPRA E VENDA DE IMÓVEL, AINDA QUE DESPROVIDO DO REGISTRO.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RELAÇÕES JURÍDICAS DE TRATO SUCESSIVO EM QUE A FAZENDA PÚBLICA FIGURE COMO DEVEDORA, QUANDO NÃO TIVER SIDO NEGADO O PRÓPRIO DIREITO RECLAMADO, A PRESCRIÇÃO ATINGE APENAS AS PRESTAÇÕES VENCIDAS ANTES DO QUINQUÊNIO ANTERIOR À PROPOSITURA DA 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2026-07-28T00:15:13.920Z</dcterms:created>
  <dcterms:modified xsi:type="dcterms:W3CDTF">2026-07-28T00:15:13.920Z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