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Resp 261.571-</w:t>
      </w:r>
    </w:p>
    <w:p/>
    <w:p>
      <w:r>
        <w:t xml:space="preserve">A PRESTAÇÃO DE SERVIÇO DE COMPOSIÇÃO GRÁFICA, PERSONALIZADA E SOB ENCOMENDA, AINDA QUE ENVOLVA FORNECIMENTO DE MERCADORIAS, ESTÁ SUJEITA, APENAS, AO I.S.S..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CANCELAMENTO DA SÚMULA 157 - Resp 261.571-SP, na sessão de 24-04-2002, Primeira Seção. É ILEGÍTIMA A COBRANÇA DE TAXA, PELO MUNICÍPIO, NA RENOVAÇÃO DE LICENÇA PARA LOCALIZAÇÃO DE ESTABELECIMENTO COMERCIAL OU INDUSTRIAL.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2026-06-17T16:53:20.785Z</dcterms:created>
  <dcterms:modified xsi:type="dcterms:W3CDTF">2026-06-17T16:53:20.785Z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