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LICENÇA PARA LOCALIZAÇÃO</w:t>
      </w:r>
    </w:p>
    <w:p>
      <w:r>
        <w:rPr>
          <w:i/>
          <w:iCs/>
          <w:color w:val="666666"/>
        </w:rPr>
        <w:t xml:space="preserve">INTERDIÇÃO DE ESTABELECIMENTO</w:t>
      </w:r>
    </w:p>
    <w:p/>
    <w:p>
      <w:r>
        <w:rPr>
          <w:b/>
          <w:bCs/>
        </w:rPr>
        <w:t xml:space="preserve">Recurso: </w:t>
      </w:r>
      <w:r>
        <w:t xml:space="preserve">Resp 261.571-</w:t>
      </w:r>
    </w:p>
    <w:p/>
    <w:p>
      <w:r>
        <w:t xml:space="preserve">A PRESTAÇÃO DE SERVIÇO DE COMPOSIÇÃO GRÁFICA, PERSONALIZADA E SOB ENCOMENDA, AINDA QUE ENVOLVA FORNECIMENTO DE MERCADORIAS, ESTÁ SUJEITA, APENAS, AO I.S.S..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CANCELAMENTO DA SÚMULA 157 - Resp 261.571-SP, na sessão de 24-04-2002, Primeira Seção. É ILEGÍTIMA A COBRANÇA DE TAXA, PELO MUNICÍPIO, NA RENOVAÇÃO DE LICENÇA PARA LOCALIZAÇÃO DE ESTABELECIMENTO COMERCIAL OU INDUSTRIAL.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2026-10-26T02:37:29.271Z</dcterms:created>
  <dcterms:modified xsi:type="dcterms:W3CDTF">2026-10-26T02:37:29.271Z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