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TAXA DE LICENÇA PARA LOCALIZAÇÃO</w:t>
      </w:r>
    </w:p>
    <w:p>
      <w:r>
        <w:rPr>
          <w:i/>
          <w:iCs/>
          <w:color w:val="666666"/>
        </w:rPr>
        <w:t xml:space="preserve">INTERDIÇÃO DE ESTABELECIMENTO</w:t>
      </w:r>
    </w:p>
    <w:p/>
    <w:p/>
    <w:p>
      <w:r>
        <w:t xml:space="preserve">NA REPETIÇÃO DE INDÉBITO TRIBUTÁRIO, A CORREÇÃO MONETÁRIA ÍNDICE A PARTIR DO PAGAMENTO INDEVIDO.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FORNECIMENTO DE MERCADORIAS COM A SIMULTÂNEA PRESTAÇÃO DE SERVIÇOS EM BARES, RESTAURANTES E ESTABELECIMENTOS SIMILARES CONSTITUI FATO GERADOR DO ICMS A INCIDIR SOBRE O VALOR TOTAL DA OPERAÇÃO.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2026-10-26T03:43:47.963Z</dcterms:created>
  <dcterms:modified xsi:type="dcterms:W3CDTF">2026-10-26T03:43:47.963Z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