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/>
    <w:p>
      <w:r>
        <w:t xml:space="preserve">É INVIÁVEL O AGRAVO DO ART. 545 DO CPC QUE DEIXA DE ATACAR ESPECIFICAMENTE OS FUNDAMENTOS DA DECISÃO AGRAVADA.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CANCELAMENTO DA SÚMULA 183 - Embargos de Declaração no CC 27.676-BA, sessão de 08-11-2000, Primeira Seção. COMPETE AO JUIZ ESTADUAL, NAS COMARCAS QUE NÃO SEJAM SEDE DE VARA DA JUSTIÇA FEDERAL PROCESSAR E JULGAR AÇÃO CIVIL PÚBLICA, AINDA QUE A UNIÃO FIGURE NO PROCESSO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2026-09-10T22:39:27.554Z</dcterms:created>
  <dcterms:modified xsi:type="dcterms:W3CDTF">2026-09-10T22:39:27.554Z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