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TAXA DE LICENÇA PARA LOCALIZAÇÃO</w:t>
      </w:r>
    </w:p>
    <w:p>
      <w:r>
        <w:rPr>
          <w:i/>
          <w:iCs/>
          <w:color w:val="666666"/>
        </w:rPr>
        <w:t xml:space="preserve">INTERDIÇÃO DE ESTABELECIMENTO</w:t>
      </w:r>
    </w:p>
    <w:p/>
    <w:p/>
    <w:p>
      <w:r>
        <w:t xml:space="preserve">A PRONÚNCIA É CAUSA INTERRUPTIVA DA PRESCRIÇÃO, AINDA QUE O TRIBUNAL DO JÚRI VENHA A DESCLASSIFICAR O CRIME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COMPETE AO JUÍZO DAS EXECUÇÕES PENAIS DO ESTADO A EXECUÇÃO DAS PENAS IMPOSTAS A SENTENCIADOS PELA JUSTIÇA FEDERAL, MILITAR OU ELEITORAL, QUANDO RECOLHIDOS A ESTABELECIMENTOS SUJEITOS À ADMINISTRAÇÃO ESTADUAL.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2026-10-26T02:52:15.857Z</dcterms:created>
  <dcterms:modified xsi:type="dcterms:W3CDTF">2026-10-26T02:52:15.857Z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