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/>
    <w:p>
      <w:r>
        <w:t xml:space="preserve">NA IMPORTAÇÃO DE VEÍCULO POR PESSOA FÍSICA, DESTINADA A USO PRÓPRIO, INCIDE O ICMS.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EXECUÇÃO HIPOTECÁRIA DE CRÉDITO VINCULADA AO SISTEMA FINANCEIRO DA HABITAÇÃO, NOS TERMOS DA LEI Nº 5.741/71, A PETIÇÃO INICIAL, DEVE SER INSTRUÍDA COM, PELO MENOS, DOIS AVISOS DE COBRANÇA.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2026-09-10T22:45:00.879Z</dcterms:created>
  <dcterms:modified xsi:type="dcterms:W3CDTF">2026-09-10T22:45:00.879Z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