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/>
    <w:p>
      <w:r>
        <w:t xml:space="preserve">NA IMPORTAÇÃO DE VEÍCULO POR PESSOA FÍSICA, DESTINADA A USO PRÓPRIO, INCIDE O ICMS.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HIPOTECÁRIA DE CRÉDITO VINCULADA AO SISTEMA FINANCEIRO DA HABITAÇÃO, NOS TERMOS DA LEI Nº 5.741/71, A PETIÇÃO INICIAL, DEVE SER INSTRUÍDA COM, PELO MENOS, DOIS AVISOS DE COBRANÇA.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2026-10-26T02:46:13.294Z</dcterms:created>
  <dcterms:modified xsi:type="dcterms:W3CDTF">2026-10-26T02:46:13.294Z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