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INTERDIÇÃO DE ESTABELECIMENTO</w:t>
      </w:r>
    </w:p>
    <w:p/>
    <w:p/>
    <w:p>
      <w:r>
        <w:t xml:space="preserve">EXCLUÍDO DO FEITO O ENTE FEDERAL, CUJA PRESENÇA LEVARA O JUIZ ESTADUAL A DECLINAR DA COMPETÊNCIA, DEVE O JUIZ FEDERAL RESTITUIR OS AUTOS E NÃO SUSCITAR CONFLITO.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COMPETE AO TRIBUNAL REGIONAL DO TRABALHO APRECIAR RECURSO CONTRA SENTENÇA PROFERIDA POR ÓRGÃO DE PRIMEIRO GRAU DA JUSTIÇA TRABALHISTA, AINDA QUE PARA DECLARAR-LHE A NULIDADE EM VIRTUDE DE INCOMPETÊNCIA.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2026-06-17T14:05:17.331Z</dcterms:created>
  <dcterms:modified xsi:type="dcterms:W3CDTF">2026-06-17T14:05:17.331Z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