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LICENÇA PARA LOCALIZAÇÃO</w:t>
      </w:r>
    </w:p>
    <w:p>
      <w:r>
        <w:rPr>
          <w:i/>
          <w:iCs/>
          <w:color w:val="666666"/>
        </w:rPr>
        <w:t xml:space="preserve">INTERDIÇÃO DE ESTABELECIMENTO</w:t>
      </w:r>
    </w:p>
    <w:p/>
    <w:p/>
    <w:p>
      <w:r>
        <w:t xml:space="preserve">O PEDIDO DO PAGAMENTO DE INDENIZAÇÃO À SEGURADORA SUSPENDE O PRAZO DE PRESCRIÇÃO ATÉ QUE O SEGURADO TENHA CIÊNCIA DA DECISÃO.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CANCELAMENTO DA SÚMULA 230 - Conflito de Competência ns 30.513-SP e 30.504-SP, na sessão de 11-10-2000, Segunda Seção COMPETE À JUSTIÇA ESTADUAL PROCESSAR E JULGAR AÇÃO MOVIDA POR TRABALHADOR PORTUÁRIO, EM QUE SE IMPUGNA ATO DO ÓRGÃO GESTOR DE MÃO-DE-OBRA DE QUE RESULTE ÓBICE AO EXERCÍCIO DE SUA PROFISSÃO.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2026-06-17T15:24:47.513Z</dcterms:created>
  <dcterms:modified xsi:type="dcterms:W3CDTF">2026-06-17T15:24:47.513Z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