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LICENÇA PARA LOCALIZAÇÃO</w:t>
      </w:r>
    </w:p>
    <w:p>
      <w:r>
        <w:rPr>
          <w:i/>
          <w:iCs/>
          <w:color w:val="666666"/>
        </w:rPr>
        <w:t xml:space="preserve">INTERDIÇÃO DE ESTABELECIMENTO</w:t>
      </w:r>
    </w:p>
    <w:p/>
    <w:p/>
    <w:p>
      <w:r>
        <w:t xml:space="preserve">CABE AÇÃO DECLARATÓRIA PARA RECONHECIMENTO DE TEMPO DE SERVIÇO PARA FINS PREVIDENCIÁRIOS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BENEFÍCIO DA SUSPENSÃO DO PROCESSO NÃO É APLICÁVEL EM RELAÇÃO ÀS INFRAÇÕES PENAIS COMETIDAS EM CONCURSO MATERIAL, CONCURSO FORMAL OU CONTINUIDADE DELITIVA, QUANDO A PENA MÍNIMA COMINADA, SEJA PELO SOMATÓRIO, SEJA PELA INCIDÊNCIA DA MAJORANTE, ULTRAPASSAR O LIMITE DE (01) ANO.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2026-09-10T22:39:21.708Z</dcterms:created>
  <dcterms:modified xsi:type="dcterms:W3CDTF">2026-09-10T22:39:21.708Z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