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LICENÇA PARA LOCALIZAÇÃO</w:t>
      </w:r>
    </w:p>
    <w:p>
      <w:r>
        <w:rPr>
          <w:i/>
          <w:iCs/>
          <w:color w:val="666666"/>
        </w:rPr>
        <w:t xml:space="preserve">INTERDIÇÃO DE ESTABELECIMENTO</w:t>
      </w:r>
    </w:p>
    <w:p/>
    <w:p/>
    <w:p>
      <w:r>
        <w:t xml:space="preserve">CABE AÇÃO DECLARATÓRIA PARA RECONHECIMENTO DE TEMPO DE SERVIÇO PARA FINS PREVIDENCIÁRIOS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BENEFÍCIO DA SUSPENSÃO DO PROCESSO NÃO É APLICÁVEL EM RELAÇÃO ÀS INFRAÇÕES PENAIS COMETIDAS EM CONCURSO MATERIAL, CONCURSO FORMAL OU CONTINUIDADE DELITIVA, QUANDO A PENA MÍNIMA COMINADA, SEJA PELO SOMATÓRIO, SEJA PELA INCIDÊNCIA DA MAJORANTE, ULTRAPASSAR O LIMITE DE (01) ANO.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2026-10-26T04:55:52.407Z</dcterms:created>
  <dcterms:modified xsi:type="dcterms:W3CDTF">2026-10-26T04:55:52.407Z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