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/>
    <w:p>
      <w:r>
        <w:t xml:space="preserve">A CONVENÇÃO DE CONDOMÍNIO APROVADA, AINDA QUE SEM REGISTRO, É EFICAZ PARA REGULAR AS RELAÇÕES ENTRE OS CONDÔMINOS.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COBRANÇA DE DIREITOS AUTORAIS PELA RETRANSMISSÃO REDIOFÔNICA DE MÚSICAS, EM ESTABELECIMENTO HOTELEIRO, DEVE SER FEITA CONFORME A TAXA MÉDIA DE UTILIZAÇÃO DO EQUIPAMENTO, APURADA EM LIQUIDAÇÃO.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2026-06-17T14:08:04.293Z</dcterms:created>
  <dcterms:modified xsi:type="dcterms:W3CDTF">2026-06-17T14:08:04.293Z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