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LICENÇA PARA LOCALIZAÇÃO</w:t>
      </w:r>
    </w:p>
    <w:p>
      <w:r>
        <w:rPr>
          <w:i/>
          <w:iCs/>
          <w:color w:val="666666"/>
        </w:rPr>
        <w:t xml:space="preserve">INTERDIÇÃO DE ESTABELECIMENTO</w:t>
      </w:r>
    </w:p>
    <w:p/>
    <w:p/>
    <w:p>
      <w:r>
        <w:t xml:space="preserve">A CONVENÇÃO DE CONDOMÍNIO APROVADA, AINDA QUE SEM REGISTRO, É EFICAZ PARA REGULAR AS RELAÇÕES ENTRE OS CONDÔMINOS.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COBRANÇA DE DIREITOS AUTORAIS PELA RETRANSMISSÃO REDIOFÔNICA DE MÚSICAS, EM ESTABELECIMENTO HOTELEIRO, DEVE SER FEITA CONFORME A TAXA MÉDIA DE UTILIZAÇÃO DO EQUIPAMENTO, APURADA EM LIQUIDAÇÃO.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2026-10-26T06:00:34.956Z</dcterms:created>
  <dcterms:modified xsi:type="dcterms:W3CDTF">2026-10-26T06:00:34.956Z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