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LICENÇA PARA LOCALIZAÇÃO</w:t>
      </w:r>
    </w:p>
    <w:p>
      <w:r>
        <w:rPr>
          <w:i/>
          <w:iCs/>
          <w:color w:val="666666"/>
        </w:rPr>
        <w:t xml:space="preserve">INTERDIÇÃO DE ESTABELECIMENTO</w:t>
      </w:r>
    </w:p>
    <w:p/>
    <w:p/>
    <w:p>
      <w:r>
        <w:t xml:space="preserve">INCIDE O IMPOSTO DE RENDA SOBRE O RESULTADO DAS APLICAÇÕES FINANCEIRAS REALIZADAS PELAS COOPERATIVAS.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CANCELAMENTO DA SÚMULA 263 - Resps. 443.143-GO e 470.632-SP na sessão de 27-08-2003, Segunda Seção. A COBRANÇA ANTECIPADA DO VALOR RESIDUAL (VRG) DESCARACTERIZA O CONTRATO DE ARRENDAMENTO MERCANTIL, TRANSFORMANDO-O EM COMPRA E VENDA A PRESTAÇÃO.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2026-06-17T16:32:49.034Z</dcterms:created>
  <dcterms:modified xsi:type="dcterms:W3CDTF">2026-06-17T16:32:49.034Z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