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LICENÇA PARA LOCALIZAÇÃO</w:t>
      </w:r>
    </w:p>
    <w:p>
      <w:r>
        <w:rPr>
          <w:i/>
          <w:iCs/>
          <w:color w:val="666666"/>
        </w:rPr>
        <w:t xml:space="preserve">INTERDIÇÃO DE ESTABELECIMENTO</w:t>
      </w:r>
    </w:p>
    <w:p/>
    <w:p/>
    <w:p>
      <w:r>
        <w:t xml:space="preserve">A CORREÇÃO MONETÁRIA DOS DEPÓSITOS JUDICIAIS INDEPENDE DE AÇÃO ESPECÍFICA CONTRA O BANCO DEPOSITÁRIO.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TRABALHADOR RURAL, NA CONDIÇÃO DE SEGURADO ESPECIAL, SUJEITO À CONTRIBUIÇÃO OBRIGATÓRIA SOBRE A PRODUÇÃO RURAL COMERCIALIZADA, SOMENTE FAZ JUS À APOSENTADORIA POR TEMPO DE SERVIÇO, SE RECOLHER CONTRIBUIÇÕES FACULTATIVAS.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2026-09-10T22:42:45.923Z</dcterms:created>
  <dcterms:modified xsi:type="dcterms:W3CDTF">2026-09-10T22:42:45.923Z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