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PROCESSO ADMINISTRATIVO</w:t>
      </w:r>
    </w:p>
    <w:p/>
    <w:p/>
    <w:p>
      <w:r>
        <w:t xml:space="preserve">É LEGÍTIMA A COBRANÇA DA TARIFA DE ÁGUA FIXADA DE ACORDO COM AS CATEGORIAS DE USUÁRIOS E AS FAIXAS DE CONSUMO.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NAS AÇÕES DE DESAPROPRIAÇÃO, OS JUROS COMPENSATÓRIOS INCIDENTES APÓS A MEDIDA PROVISÓRIA N. 1.577, DE 11/06/1997, DEVEM SER FIXADOS EM 6% AO ANO ATÉ 13/09/2001 E, A PARTIR DE ENTÃO, EM 12% AO ANO, NA FORMA DA SÚMULA N. 618 DO SUPREMO TRIBUNAL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2026-10-26T04:39:10.500Z</dcterms:created>
  <dcterms:modified xsi:type="dcterms:W3CDTF">2026-10-26T04:39:10.500Z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