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PROCESSO ADMINISTRATIVO</w:t>
      </w:r>
    </w:p>
    <w:p/>
    <w:p/>
    <w:p>
      <w:r>
        <w:t xml:space="preserve">OS ESTADOS E O DISTRITO FEDERAL SÃO PARTES LEGÍTIMAS NA AÇÃO DE RESTITUIÇÃO DE IMPOSTO DE RENDA RETIDO NA FONTE PROPOSTA POR SEUS SERVIDORES.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OPÇÃO PELO SIMPLES DE ESTABELECIMENTOS DEDICADOS ÀS ATIVIDADES DE CRECHE, PRÉ-ESCOLA E ENSINO FUNDAMENTAL É ADMITIDA SOMENTE A PARTIR DE 24/10/2000, DATA DE VIGÊNCIA DA LEI N. 10.034/2000.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2026-07-28T04:16:07.737Z</dcterms:created>
  <dcterms:modified xsi:type="dcterms:W3CDTF">2026-07-28T04:16:07.738Z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