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CONCURSO DE DUAS OU MAIS PESSOAS</w:t>
      </w:r>
    </w:p>
    <w:p/>
    <w:p/>
    <w:p>
      <w:r>
        <w:t xml:space="preserve">O PAGAMENTO DA MULTA POR INFRAÇÃO DE TRÂNSITO NÃO INIBE A DISCUSSÃO JUDICIAL DO DÉBITO.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PRESUME-SE DISSOLVIDA IRREGULARMENTE A EMPRESA QUE DEIXAR DE FUNCIONAR NO SEU DOMICÍLIO FISCAL, SEM COMUNICAÇÃO AOS ÓRGÃOS COMPETENTES, LEGITIMANDO O REDIRECIONAMENTO DA EXECUÇÃO FISCAL PARA O SÓCIO-GERENTE.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2026-07-28T00:07:08.118Z</dcterms:created>
  <dcterms:modified xsi:type="dcterms:W3CDTF">2026-07-28T00:07:08.118Z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