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FURTO QUALIFICADO</w:t>
      </w:r>
    </w:p>
    <w:p>
      <w:r>
        <w:rPr>
          <w:i/>
          <w:iCs/>
          <w:color w:val="666666"/>
        </w:rPr>
        <w:t xml:space="preserve">CONCURSO DE DUAS OU MAIS PESSOAS</w:t>
      </w:r>
    </w:p>
    <w:p/>
    <w:p/>
    <w:p>
      <w:r>
        <w:t xml:space="preserve">OS ESTADOS E O DISTRITO FEDERAL SÃO PARTES LEGÍTIMAS NA AÇÃO DE RESTITUIÇÃO DE IMPOSTO DE RENDA RETIDO NA FONTE PROPOSTA POR SEUS SERVIDORES.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OPÇÃO PELO SIMPLES DE ESTABELECIMENTOS DEDICADOS ÀS ATIVIDADES DE CRECHE, PRÉ-ESCOLA E ENSINO FUNDAMENTAL É ADMITIDA SOMENTE A PARTIR DE 24/10/2000, DATA DE VIGÊNCIA DA LEI Nº 10.034/2000.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2026-10-26T03:45:59.695Z</dcterms:created>
  <dcterms:modified xsi:type="dcterms:W3CDTF">2026-10-26T03:45:59.696Z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