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FURTO QUALIFICADO</w:t>
      </w:r>
    </w:p>
    <w:p>
      <w:r>
        <w:rPr>
          <w:i/>
          <w:iCs/>
          <w:color w:val="666666"/>
        </w:rPr>
        <w:t xml:space="preserve">CONCURSO DE DUAS OU MAIS PESSOAS</w:t>
      </w:r>
    </w:p>
    <w:p/>
    <w:p/>
    <w:p>
      <w:r>
        <w:t xml:space="preserve">O MINISTÉRIO PÚBLICO NÃO TEM LEGITIMIDADE PARA PLEITEAR, EM AÇÃO CIVIL PÚBLICA, A INDENIZAÇÃO DECORRENTE DO DPVAT EM BENEFÍCIO DO SEGURADO.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COBRANÇA DE COMISSÃO DE PERMANÊNCIA - CUJO VALOR NÃO PODE ULTRAPASSAR A SOMA DOS ENCARGOS REMUNERATÓRIOS E MORATÓRIOS PREVISTOS NO CONTRATO - EXCLUI A EXIGIBILIDADE DOS JUROS REMUNERATÓRIOS, MORATÓRIOS E DA MULTA CONTRATUAL.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2026-10-26T06:59:15.961Z</dcterms:created>
  <dcterms:modified xsi:type="dcterms:W3CDTF">2026-10-26T06:59:15.961Z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