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CONTRATO DE CONFISSÃO DE DÍVIDA</w:t>
      </w:r>
    </w:p>
    <w:p/>
    <w:p/>
    <w:p>
      <w:r>
        <w:t xml:space="preserve">O PRAZO PARA AJUIZAMENTO DE AÇÃO MONITÓRIA EM FACE DO EMITENTE DE NOTA PROMISSÓRIA SEM FORÇA EXECUTIVA É QUINQUENAL, A CONTAR DO DIA SEGUINTE AO VENCIMENTO DO TÍTULO.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COMPETÊNCIA PARA PROCESSAR E JULGAR AS DEMANDAS QUE TÊM POR OBJETO OBRIGAÇÕES DECORRENTES DOS CONTRATOS DE PLANOS DE PREVIDÊNCIA PRIVADA FIRMADOS COM A FUNDAÇÃO REDE FERROVIÁRIA DE SEGURIDADE SOCIAL - REFER É DA JUSTIÇA ESTADUAL.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2026-10-26T06:00:44.414Z</dcterms:created>
  <dcterms:modified xsi:type="dcterms:W3CDTF">2026-10-26T06:00:44.414Z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