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CONFISSÃO DE DÍVIDA</w:t>
      </w:r>
    </w:p>
    <w:p/>
    <w:p/>
    <w:p>
      <w:r>
        <w:t xml:space="preserve">É COMPATÍVEL COM O ARTIGO 19 DO CÓDIGO TRIBUTÁRIO NACIONAL A DISPOSIÇÃO DO ARTIGO 23 DO DECRETO-LEI Nº 37, DE 18.11.66.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MULTA PREVISTA NO ARTIGO 60, ÍTEM I, DA LEI 3.244, DE 1957, NA REDAÇÃO DO ARTIGO 169 DO DECRETO-LEI Nº 37, DE 1966, NÃO SE APLICA AO CASO DE EMBARQUE DA MERCADORIA NO EXTERIOR APÓS O VENCIMENTO DO PRAZO DE VALIDADE DA RESPECTIVA GUIA DE IMPORTAÇÃO. A MULTA PREVISTA NO ARTIGO 60, ÍTEM I, DA LEI Nº 3.244, DE 1957, NA REDAÇÃO DO ARTIGO 169 DO DECRETO-LEI Nº 37, DE 1966, NÃO SE APLICA AO CASO DE EMBARQUE DE MERCADORIA NO EXTERIOR ANTES DE EMITIDA A GUIA DE IMPORTAÇÃO MAS CHEGADA AO TERRITÓRIO NACIONAL DEPOIS DA EXPEDIÇÃO DO REFERIDO DOCUMENTO.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2026-07-28T00:19:35.011Z</dcterms:created>
  <dcterms:modified xsi:type="dcterms:W3CDTF">2026-07-28T00:19:35.011Z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