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CONTRATO DE CONFISSÃO DE DÍVIDA</w:t>
      </w:r>
    </w:p>
    <w:p/>
    <w:p/>
    <w:p>
      <w:r>
        <w:t xml:space="preserve">O ARTIGO 51 DO CÓDIGO DE PROPRIEDADE INDUSTRIAL (LEI Nº 5.772, DE 21.12.71) TAMBÉM SE APLICA AOS PEDIDOS DE PRIVILÉGIO.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CONSTITUI OBSTÁCULO À CONCESSÃO DA DUPLA APOSENTADORIA DE QUE TRATA A LEI Nº 2.752/1956, ARTIGO 1º E PARÁGRAFO ÚNICO, EM FAVOR DE FERROVIÁRIO DA ESTRADA DE FERRO CENTRAL DO BRASIL, O FATO DE DETER A CONDIÇÃO DE EXTRANUMERÁRIO DA UNIÃO FEDERAL À DATA DA AUTARQUIZAÇÃO DA REFERIDA ESTRADA, E NESSA SITUAÇÃO TER SIDO POSTO À SUA DISPOSIÇÃO, NELA OBTENDO MODIFICAÇÕES E MELHORIAS FUNCIONAIS. O AUMENTO DE 30% DO DECRETO-LEI Nº 1.348, DE 1974, NO QUE RESPEITA AOS FUNCIONÁRIOS APOSENTADOS ANTERIORMENTE À IMPLANTAÇÃO DO PLANO DE CLASSIFICAÇÃO DE CARGOS, INCIDE SOBRE A TOTALIDADE DOS RESPECTIVOS PROVENTOS. CONSIDERA-SE COMO TERMO INICIAL DOS PRAZOS DO ART. 24 DA LEI Nº 5.772, DE 21 DE DEZEMBRO DE 1971 (CÓDIGO DE PROPRIEDADE INDUSTRIAL), PARA OS DEPÓSITOS ANTERIORES A ESSA LEI, A DATA DE SUA VIGÊNCIA.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2026-07-28T01:50:38.053Z</dcterms:created>
  <dcterms:modified xsi:type="dcterms:W3CDTF">2026-07-28T01:50:38.053Z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