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CONFISSÃO DE DÍVIDA</w:t>
      </w:r>
    </w:p>
    <w:p/>
    <w:p/>
    <w:p>
      <w:r>
        <w:t xml:space="preserve">AS MULTAS FISCAIS, SEJAM MORATÓRIAS OU PUNITIVAS, ESTÃO SUJEITAS À CORREÇÃO MONETÁRIA.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NOS CASOS DE DEVOLUÇÃO DO DEPÓSITO EFETUADO EM GARANTIA DE INSTÂNCIA E DE REPETIÇÃO DO INDÉBITO TRIBUTÁRIO, A CORREÇÃO MONETÁRIA É CALCULADA DESDE A DATA DO DEPÓSITO OU DO PAGAMENTO INDEVIDO E INCIDE ATÉ O EFETIVO RECEBIMENTO DA IMPORTÂNCIA RECLAMADA.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2026-10-26T03:41:49.388Z</dcterms:created>
  <dcterms:modified xsi:type="dcterms:W3CDTF">2026-10-26T03:41:49.388Z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