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CONFISSÃO DE DÍVIDA</w:t>
      </w:r>
    </w:p>
    <w:p/>
    <w:p/>
    <w:p>
      <w:r>
        <w:t xml:space="preserve">NÃO CABE EXIGIR DOS MUNICÍPIOS O CERTIFICADO DE QUITAÇÃO, OU DE REGULARIDADE DE SITUAÇÃO.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JUROS COMPENSATÓRIOS, NA DESAPROPRIAÇÃO, INCIDEM A PARTIR DA IMISSÃO NA POSSE E SÃO CALCULADOS, ATÉ A DATA DO LAUDO, SOBRE O VALOR SIMPLES DA INDENIZAÇÃO E, DESDE ENTÃO, SOBRE REFERIDO VALOR CORRIGIDO MONETARIAMENTE.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2026-10-26T03:46:25.399Z</dcterms:created>
  <dcterms:modified xsi:type="dcterms:W3CDTF">2026-10-26T03:46:25.399Z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