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CONFISSÃO DE DÍVIDA</w:t>
      </w:r>
    </w:p>
    <w:p/>
    <w:p/>
    <w:p>
      <w:r>
        <w:t xml:space="preserve">A CONSTITUIÇÃO DO CRÉDITO PREVIDENCIÁRIO ESTÁ SUJEITA AO PRAZO DE DECADÊNCIA DE CINCO ANOS.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DESAPROPRIAÇÃO INICIADA SEGUNDO O PROCEDIMENTO PREVISTO NO DECRETO-LEI Nº 512, DE 1969, PROSSEGUIRÁ NA FORMA DA LEI DAS DESAPROPRIAÇÕES POR UTILIDADE PÚBLICA, NO CASO DE MANIFESTA DISCORDÂNCIA DO EXPROPRIADO COM O PREÇO OFERECIDO.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2026-10-26T03:49:43.193Z</dcterms:created>
  <dcterms:modified xsi:type="dcterms:W3CDTF">2026-10-26T03:49:43.193Z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