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LITISCONSORTE PASSIVO NECESSÁRIO</w:t>
      </w:r>
    </w:p>
    <w:p/>
    <w:p/>
    <w:p>
      <w:r>
        <w:t xml:space="preserve">A SENTENÇA QUE, EM EXECUÇÃO FISCAL PROMOVIDA POR AUTARQUIA, JULGA EXTINTO O PROCESSO, SEM DECIDIR O MÉRITO (CPC, ART. 267), NÃO ESTÁ SUJEITA AO DUPLO GRAU DE JURISDIÇÃO OBRIGATÓRIO.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PENA DE PERDIMENTO DE VEÍCULO, UTILIZADO EM CONTRABANDO OU DESCAMINHO, SOMENTE SE JUSTIFICA SE DEMONSTRADA, EM PROCEDIMENTO REGULAR, A RESPONSABILIDADE DO SEU PROPRIETÁRIO NA PRÁTICA DO ILÍCITO. MERCADORIA ESTRANGEIRA IMPORTADA DE PAÍSES SIGNATÁRIOS DO GATT OU DO TRATADO DE MONTEVIDÉU, PARA A ZONA FRANCA DE MANAUS, ESTÁ ISENTA DO PAGAMENTO ADICIONAL DO FRETE PARA RENOVAÇÃO DA MARINHA MERCANTE - AFRMM.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2026-10-26T05:55:31.065Z</dcterms:created>
  <dcterms:modified xsi:type="dcterms:W3CDTF">2026-10-26T05:55:31.065Z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