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LITISCONSORTE PASSIVO NECESSÁRIO</w:t>
      </w:r>
    </w:p>
    <w:p/>
    <w:p/>
    <w:p>
      <w:r>
        <w:t xml:space="preserve">OS SERVIÇOS DE COMPOSIÇÃO E IMPRESSÃO GRÁFICAS, PERSONALIZADOS, PREVISTOS NO ARTIGO 8º, PARÁGRAFO 1º, DO DECRETO-LEI 834, DE 1969,  ESTÃO SUJEITOS APENAS AO I.S.S., NÃO INCIDINDO O I.P.I..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QUE SE FAÇA JUS À ISENÇÃO DA COTA PATRONAL RELATIVA ÀS CONTRIBUIÇÕES PREVIDENCIÁRIAS, É INDISPENSÁVEL COMPROVE A ENTIDADE FILANTRÓPICA TER SIDO DECLARADA DE UTILIDADE PÚBLICA POR DECRETO FEDERAL.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2026-10-26T03:56:34.298Z</dcterms:created>
  <dcterms:modified xsi:type="dcterms:W3CDTF">2026-10-26T03:56:34.298Z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