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LITISCONSORTE PASSIVO NECESSÁRIO</w:t>
      </w:r>
    </w:p>
    <w:p/>
    <w:p/>
    <w:p>
      <w:r>
        <w:t xml:space="preserve">É COMPATÍVEL A EXIGÊNCIA DA CONTRIBUIÇÃO PARA O PIS COM O IMPOSTO ÚNICO SOBRE COMBUSTÍVEIS E LUBRIFICANTES.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AGENTE MARÍTIMO, QUANDO NO EXERCÍCIO EXCLUSIVO DAS ATRIBUIÇÕES PRÓPRIAS, NÃO É CONSIDERADO RESPONSÁVEL TRIBUTÁRIO, NEM SE EQUIPARA AO TRANSPORTADOR PARA EFEITOS DO DECRETO-LEI 37, DE 1966.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2026-07-28T00:08:03.417Z</dcterms:created>
  <dcterms:modified xsi:type="dcterms:W3CDTF">2026-07-28T00:08:03.417Z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