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LITISCONSORTE PASSIVO NECESSÁRIO</w:t>
      </w:r>
    </w:p>
    <w:p/>
    <w:p/>
    <w:p>
      <w:r>
        <w:t xml:space="preserve">É GENÉRICA A ESCOLARIDADE DE NÍVEL SUPERIOR EXIGIDA DO SERVIDOR QUE CONCORRE, POR APROVEITAMENTO, À PRIMEIRA COMPOSIÇÃO DA CATEGORIA FUNCIONAL DE TÉCNICO DE CONTROLE INTERNO.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PRORROGAÇÃO DA JORNADA DE TRABALHO DA MULHER BANCÁRIA, ATÉ OITO HORAS DIÁRIAS, NÃO EXCEDENTE DE QUARENTA HORAS SEMANAIS (CLT, ART. 225), COM OBSERVÂNCIA DO ART. 59 E SEU PARÁGRAFO 1º DA CLT, É INAPLICÁVEL A REGRA DO ART. 374 DESSE DIPLOMA LEGAL.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2026-10-26T02:37:43.022Z</dcterms:created>
  <dcterms:modified xsi:type="dcterms:W3CDTF">2026-10-26T02:37:43.022Z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