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/>
    <w:p>
      <w:r>
        <w:t xml:space="preserve">RECONHECIDA A CULPA RECÍPROCA NA RESCISÃO DO CONTRATO DE TRABALHO, O EMPREGADO NÃO FARÁ JUS AO AVISO-PRÉVIO, ÀS FÉRIAS PROPORCIONAIS E À GRATIFICAÇÃO NATALINA DO ANO RESPECTIVO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JUSTIFICAÇÃO DA AUSÊNCIA DO EMPREGADO MOTIVADA POR DOENÇA PARA A PERCEPÇÃO DO SALÁRIO-ENFERMIDADE E DA REMUNERAÇÃO DO REPOUSO SEMANAL, DEVE OBSERVAR A ORDEM PREFERENCIAL DOS ATESTADOS MÉDICOS ESTABELECIDA EM LEI. PRESUME-SE RECEBIDA A NOTIFICAÇÃO QUARENTA E OITO HORAS DEPOIS DE SUA REGULAR EXPEDIÇÃO. O SEU NÃO RECEBIMENTO OU A ENTREGA APÓS O DECURSO DESSE PRAZO CONSTITUEM ÔNUS DE PROVA DO DESTINATÁRIO. O ADICIONAL-INSALUBRIDADE DEVIDO A EMPREGADO QUE PERCEBE, POR FORÇA DE LEI, CONVENÇÃO COLETIVA OU SENTENÇA NORMATIVA, SALÁRIO-PROFISSIONAL, SERÁ SOBRE ESTE CALCULADO. V. Resolução nº 29, de 27 de abril de 1994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2026-07-27T23:59:55.054Z</dcterms:created>
  <dcterms:modified xsi:type="dcterms:W3CDTF">2026-07-27T23:59:55.054Z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