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LITISCONSORTE PASSIVO NECESSÁRIO</w:t>
      </w:r>
    </w:p>
    <w:p/>
    <w:p/>
    <w:p>
      <w:r>
        <w:t xml:space="preserve">EMPREGADO TRANSFERIDO POR ATO UNILATERAL DO EMPREGADOR, PARA LOCAL MAIS DISTANTE DE SUA RESIDÊNCIA, TEM DIREITO A SUPLEMENTO SALARIAL CORRESPONDENTE AO ACRÉSCIMO DA DESPESA DE TRANSPORTE.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QUANDO NÃO JUNTADA A ATA AO PROCESSO EM 48 HORAS CONTADAS DA AUDIÊNCIA DE JULGAMENTO (ART. 851, PARÁGRAFO 2º, DA CLT), O PRAZO PARA RECURSO SERÁ CONTADO DA DATA EM QUE A PARTE RECEBER A INTIMAÇÃO DA SENTENÇA.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2026-07-27T23:49:57.288Z</dcterms:created>
  <dcterms:modified xsi:type="dcterms:W3CDTF">2026-07-27T23:49:57.288Z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