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TRIBUNAL SUPERIOR DO TRABALHO</w:t>
      </w:r>
    </w:p>
    <w:p>
      <w:r>
        <w:rPr>
          <w:i/>
          <w:iCs/>
          <w:color w:val="666666"/>
        </w:rPr>
        <w:t xml:space="preserve">PRECEDENTES NORMATIVOS</w:t>
      </w:r>
    </w:p>
    <w:p/>
    <w:p/>
    <w:p>
      <w:r>
        <w:t xml:space="preserve">FALTA GRAVE, SALVO A DE ABANDONO DE EMPREGO, PRATICADA PELO EMPREGADO NO DECURSO DO PRAZO DO AVISO PRÉVIO, DADO PELO EMPREGADOR, RETIRA ÀQUELE QUALQUER DIREITO À INDENIZAÇÃO.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 PENA DE CONFISSÃO À PARTE QUE, EXPRESSAMENTE INTIMADA COM AQUELA COMINAÇÃO, NÃO COMPARECER À AUDIÊNCIA EM PROSSEGUIMENTO NA QUAL DEVERIA DEPOR. N. da R.: Ver o t. RESOLUÇÃO, st. Nº 129/05 É INCOMPETENTE A JUSTIÇA DO TRABALHO PARA CONHECER DE AÇÃO DE FERROVIÁRIO ORIUNDO DAS EMPRESAS SOROCABANA, SÃO PAULO-MINAS E ARARAQUARENSE, QUE MANTÉM A CONDIÇÃO DE FUNCIONÁRIO PÚBLICO. Ferroviário - Cancelado - Res. 121/2003, DJ 21.11.2003 O VALOR DAS HORAS SUPLEMENTARES PRESTADAS HABITUALMENTE, POR MAIS DE DOIS ANOS, OU DURANTE TODO O CONTRATO, SE SUPRIMIDAS, INTEGRA-SE AO SALÁRIO PARA TODOS OS EFEITOS LEGAIS. Horas extras - Cancelado - Res. 121/2003, DJ 21.11.2003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2026-07-28T01:53:54.906Z</dcterms:created>
  <dcterms:modified xsi:type="dcterms:W3CDTF">2026-07-28T01:53:54.906Z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