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PRECEDENTES NORMATIVOS</w:t>
      </w:r>
    </w:p>
    <w:p/>
    <w:p/>
    <w:p>
      <w:r>
        <w:t xml:space="preserve">NULA É A PUNIÇÃO DE EMPREGADO SE NÃO PRECEDIDA DE INQUÉRITO OU SINDICÂNCIA INTERNOS A QUE SE OBRIGOU A EMPRESA, POR NORMA REGULAMENTAR.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GRATIFICAÇÃO PERIÓDICA CONTRATUAL INTEGRA O SALÁRIO, PELO SEU DUODÉCIMO, PARA TODOS OS EFEITOS LEGAIS, INCLUSIVE O CÁLCULO DA NATALINA DA LEI Nº 4.090/62. Gratificação - Cancelado - Res. 121/2003, DJ 21.11.2003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2026-10-16T16:12:25.366Z</dcterms:created>
  <dcterms:modified xsi:type="dcterms:W3CDTF">2026-10-16T16:12:25.366Z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