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TRIBUNAL SUPERIOR DO TRABALHO</w:t>
      </w:r>
    </w:p>
    <w:p>
      <w:r>
        <w:rPr>
          <w:i/>
          <w:iCs/>
          <w:color w:val="666666"/>
        </w:rPr>
        <w:t xml:space="preserve">PRECEDENTES NORMATIVOS</w:t>
      </w:r>
    </w:p>
    <w:p/>
    <w:p/>
    <w:p>
      <w:r>
        <w:t xml:space="preserve">O VALOR DAS HORAS EXTRAORDINÁRIAS HABITUAIS INTEGRA O AVISO PRÉVIO INDENIZÁVEL.
Horas extras — Cancelado - Res. 121/2003, DJ 21.11.2003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TRINTENÁRIA A PRESCRIÇÃO DO DIREITO DE RECLAMAR CONTRA O NÃO RECOLHIMENTO DA CONTRIBUIÇÃO PARA O FUNDO DE GARANTIA DO TEMPO DE SERVIÇO. Prescrição trintenária. FGTS - Cancelado - Res. 121/2003, DJ 21.11.2003 A PERMANÊNCIA DO TRIPULANTE A BORDO DO NAVIO, NO PERÍODO DE REPOUSO, ALÉM DA JORNADA, NÃO IMPORTA PRESUNÇÃO DE QUE ESTEJA À DISPOSIÇÃO DO EMPREGADOR OU EM REGIME DE PRORROGAÇÃO DE HORÁRIO, CIRCUNSTÂNCIAS QUE DEVEM RESULTAR PROVADAS, DADA A NATUREZA DO SERVIÇO.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2026-07-28T01:59:38.869Z</dcterms:created>
  <dcterms:modified xsi:type="dcterms:W3CDTF">2026-07-28T01:59:38.869Z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