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TRIBUNAL SUPERIOR DO TRABALHO</w:t>
      </w:r>
    </w:p>
    <w:p>
      <w:r>
        <w:rPr>
          <w:i/>
          <w:iCs/>
          <w:color w:val="666666"/>
        </w:rPr>
        <w:t xml:space="preserve">PRECEDENTES NORMATIVOS</w:t>
      </w:r>
    </w:p>
    <w:p/>
    <w:p/>
    <w:p>
      <w:r>
        <w:t xml:space="preserve">NÃO SE BENEFICIAM DO REGIME LEGAL RELATIVO AOS BANCÁRIOS OS EMPREGADOS DE ESTABELECIMENTOS DE CRÉDITO PERTENCENTES A CATEGORIAS PROFISSIONAIS DIFERENCIADAS.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OS INTERVALOS CONCEDIDOS PELO EMPREGADOR, NA JORNADA DE TRABALHO, NÃO PREVISTOS EM LEI, REPRESENTAM TEMPO À DISPOSIÇÃO DA EMPRESA, REMUNERADOS COMO SERVIÇO EXTRAORDINÁRIO, SE ACRESCIDOS AO FINAL DA JORNADA.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2026-07-28T03:30:49.625Z</dcterms:created>
  <dcterms:modified xsi:type="dcterms:W3CDTF">2026-07-28T03:30:49.625Z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