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/>
    <w:p>
      <w:r>
        <w:t xml:space="preserve">NÃO SE CONHECE DE PRESCRIÇÃO NÃO ARGUIDA NA INSTÂNCIA ORDINÁRIA (EX-PREJULGADO Nº 27).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DECISÃO DO TRIBUNAL REGIONAL DO TRABALHO EM MANDADO DE SEGURANÇA CABE RECURSO ORDINÁRIO, NO PRAZO DE DEZ DIAS, PARA O TRIBUNAL SUPERIOR DO TRABALHO (EX-PREJULGADO Nº 28). Mandado de segurança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2026-10-16T16:10:17.900Z</dcterms:created>
  <dcterms:modified xsi:type="dcterms:W3CDTF">2026-10-16T16:10:17.900Z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