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/>
    <w:p>
      <w:r>
        <w:t xml:space="preserve">A GRATIFICAÇÃO INSTITUÍDA PELA LEI Nº 4.090, DE 1962, É DEVIDA NA RESOLUÇÃO CONTRATUAL DE INICIATIVA DO EMPREGADO (EX-PREJULGADO Nº 35)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DA DECISÃO DO TRIBUNAL REGIONAL DO TRABALHO EM AÇÃO RESCISÓRIA, CABÍVEL É O RECURSO ORDINÁRIO PARA O TRIBUNAL SUPERIOR DE TRABALHO, EM FACE DA ORGANIZAÇÃO JUDICIÁRIA TRABALHISTA (EX-PREJULGADO Nº 35). ENQUANTO PERDURAR A SUBSTITUIÇÃO QUE NÃO TENHA CARÁTER MERAMENTE EVENTUAL, O EMPREGADO SUBSTITUTO FARÁ JUS AO SALÁRIO CONTRATUAL DO SUBSTITUÍDO (EX-PREJULGADO Nº 36). N. da R.: Ver o t. RESOLUÇÃO, st. Nº 129/05 CANCELADA A APOSENTADORIA POR INVALIDEZ, MESMO APÓS CINCO ANOS, O TRABALHADOR TERÁ DIREITO DE RETORNAR AO EMPREGO, FACULTADO, PORÉM, AO EMPREGADOR, INDENIZÁ-LO NA FORMA DA LEI (EX-PREJULGADO Nº 37).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2026-10-16T16:14:38.960Z</dcterms:created>
  <dcterms:modified xsi:type="dcterms:W3CDTF">2026-10-16T16:14:38.960Z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