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RENÚNCIA AOS DIREITOS TRABALHISTAS</w:t>
      </w:r>
    </w:p>
    <w:p/>
    <w:p/>
    <w:p>
      <w:r>
        <w:t xml:space="preserve">O VALE PARA REFEIÇÃO, FORNECIDO POR FORÇA DO CONTRATO DE TRABALHO, TEM CARÁTER SALARIAL, INTEGRADO À REMUNERAÇÃO DO EMPREGADO, PARA TODOS OS EFEITOS LEGAIS.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INDENIZAÇÃO ADICIONAL PREVISTA NO ARTIGO 9 DAS LEIS 6.708/79 E 7.238/84, CORRESPONDE AO SALÁRIO MENSAL, NO VALOR DEVIDO À DATA DA COMUNICAÇÃO DO DESPEDIMENTO INTEGRADO PELOS ADICIONAIS LEGAIS OU CONVENCIONADOS, LIGADOS À UNIDADE DE TEMPO MÊS, NÃO SENDO COMPUTÁVEL A GRATIFICAÇÃO NATALINA.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2026-07-28T01:36:26.025Z</dcterms:created>
  <dcterms:modified xsi:type="dcterms:W3CDTF">2026-07-28T01:36:26.025Z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