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/>
    <w:p>
      <w:r>
        <w:t xml:space="preserve">SÓ POR AÇÃO RESCISÓRIA É ATACÁVEL O TERMO DE CONCILIAÇÃO PREVISTO NO PARÁGRAFO ÚNICO DO ARTIGO 831 DA CONSOLIDAÇÃO DAS LEIS DO TRABALHO.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CONTRATO DE EXPERIÊNCIA, EXTINTO ANTES DO PERÍODO DE QUATRO SEMANAS QUE PRECEDE O PARTO, A EMPREGADA NÃO TEM DIREITO DE RECEBER, DO EMPREGADOR, O SALÁRIO MATERNIDADE. Salário-maternidade. Contrato de experiência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2026-10-16T17:25:17.922Z</dcterms:created>
  <dcterms:modified xsi:type="dcterms:W3CDTF">2026-10-16T17:25:17.922Z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