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/>
    <w:p>
      <w:r>
        <w:t xml:space="preserve">A CASSAÇÃO DE EFEITO SUSPENSIVO CONCEDIDO A RECURSO INTERPOSTO CONTRA SENTENÇA NORMATIVA RETROAGE À DATA DO DESPACHO QUE O DEFERIU.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CONVENÇÃO COLETIVA, FORMALIZADA SEM PRÉVIA AUDIÇÃO DO ÓRGÃO OFICIAL COMPETENTE, NÃO OBRIGA SOCIEDADE DE ECONOMIA MISTA. (REVOGADO) Convenção coletiva. Sociedade de economia mista. Audiência prévia do órgão oficial competente - Cancelado - Res. 2/1990, DJ 10.01.1991 A INSTITUIÇÃO DO FUNDO DE PARTICIPAÇÃO DOS ESTADOS E MUNICÍPIOS NÃO FEZ SURGIR, PARA OS PROFESSORES, DIREITO A PISO SALARIAL. Piso salarial. Professores - Cancelado - Res. 121/2003, DJ 21.11.2003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2026-07-28T01:19:40.805Z</dcterms:created>
  <dcterms:modified xsi:type="dcterms:W3CDTF">2026-07-28T01:19:40.805Z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