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PRECEDENTES NORMATIVOS</w:t>
      </w:r>
    </w:p>
    <w:p/>
    <w:p/>
    <w:p>
      <w:r>
        <w:t xml:space="preserve">O SUPLENTE DA CIPA GOZA DA GARANTIA DE EMPREGO PREVISTA NO ART. 10, INCISO II, ALÍNEA "A", DO ADCT DA CONSTITUIÇÃO DA REPÚBLICA DE 1988.
N. da R.: Ver o t. RESOLUÇÃO, st. Nº 129/05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EMPREGADO, SUJEITO A CONTROLE DE HORÁRIO, REMUNERADO À BASE DE COMISSÕES, TEM DIREITO AO ADICIONAL DE, NO MÍNIMO, 50% (CINQÜENTA POR CENTO) PELO TRABALHO EM HORAS EXTRAS, CALCULADO SOBRE O VALOR DAS COMISSÕES A ELAS REFERENTES.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2026-10-16T17:25:36.339Z</dcterms:created>
  <dcterms:modified xsi:type="dcterms:W3CDTF">2026-10-16T17:25:36.339Z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