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/>
    <w:p>
      <w:r>
        <w:t xml:space="preserve">A INDICAÇÃO DO PERITO ASSISTENTE É FACULDADE DA PARTE, A QUAL DEVE RESPONDER PELOS RESPECTIVOS HONORÁRIOS, AINDA QUE VENCEDORA NO OBJETO DA PERÍCIA.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DESCONTOS SALARIAIS EFETUADOS PELO EMPREGADOR, COM A AUTORIZAÇÃO PRÉVIA E POR ESCRITO DO EMPREGADO, PARA SER INTEGRADO EM PLANOS DE ASSISTÊNCIA ODONTOLÓGICA, MEDICO-HOSPITALAR, DE SEGURO, DE PREVIDÊNCIA PRIVADA, OU DE ENTIDADE COOPERATIVA, CULTURAL OU RECREATIVA ASSOCIATIVA DOS SEUS TRABALHADORES, EM SEU BENEFÍCIO E DOS SEUS DEPENDENTES, NÃO AFRONTAM O DISPOSTO PELO ART. 462 DA CLT, SALVO SE FICAR DEMONSTRADA A EXISTÊNCIA DE COAÇÃO OU DE OUTRO DEFEITO QUE VICIE O ATO JURÍDICO.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2026-07-28T04:29:52.135Z</dcterms:created>
  <dcterms:modified xsi:type="dcterms:W3CDTF">2026-07-28T04:29:52.135Z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