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17/08/1998</w:t>
      </w:r>
    </w:p>
    <w:p/>
    <w:p>
      <w:r>
        <w:t xml:space="preserve">FLUÊNCIA — QUANDO SE INICIA - HIPÓTESE DE INTEMPESTIVIDADE DE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entendimento pacífico nesta Corte que, quando o Recurso não é conhecido por intempestivo, o prazo decadencial tem início quando transcorrido o prazo recursal da decisão Recorrida. - No caso, o Recurso de Embargos não foi conhecido (fls....), porque intempestivos. Assim, na forma da orientação desta Corte, o prazo decadencial teve início quando decorrido o prazo para interposição de Recurso Extraordinário do Acórdão proferido no Recurso de Revista, ou seja, em 1/8/90. - Logo, tendo sido ajuizada a Rescisória somente em 1997, deve ser declarada a sua decadência, uma vez que decorrido o prazo legal. Ac. 02/98 - Julgado em 18-08-1998 Arquivo do EMFOR, TST/N 1.537 EMFOR 607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entendimento pacífico nesta Corte que, quando o Recurso não é conhecido por intempestivo, o prazo decadencial tem início quando transcorrido o prazo recursal da decisão Recorrida. No caso, o Recurso de Embargos não foi conhecido, porque intempestivos. Assim, na forma da orientação desta Corte, o prazo decadencial teve início quando decorrido o prazo para interposição de Recurso Extraordinário do Acórdão proferido no Recurso de Revista, ou seja, em 1/8/90.(fls. 77). Logo, tendo sido ajuizada a Rescisória somente em 1997, deve ser declarada a sua decadência, uma vez que decorrido o prazo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2026-07-28T01:59:15.042Z</dcterms:created>
  <dcterms:modified xsi:type="dcterms:W3CDTF">2026-07-28T01:59:15.042Z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