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17/08/1998</w:t>
      </w:r>
    </w:p>
    <w:p/>
    <w:p>
      <w:r>
        <w:t xml:space="preserve">FLUÊNCIA — QUANDO SE INICIA - HIPÓTESE DE INTEMPESTIVIDADE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entendimento pacífico nesta Corte que, quando o Recurso não é conhecido por intempestivo, o prazo decadencial tem início quando transcorrido o prazo recursal da decisão Recorrida. - No caso, o Recurso de Embargos não foi conhecido (fls....), porque intempestivos. Assim, na forma da orientação desta Corte, o prazo decadencial teve início quando decorrido o prazo para interposição de Recurso Extraordinário do Acórdão proferido no Recurso de Revista, ou seja, em 1/8/90. - Logo, tendo sido ajuizada a Rescisória somente em 1997, deve ser declarada a sua decadência, uma vez que decorrido o prazo legal. Ac. 02/98 - Julgado em 18-08-1998 Arquivo do EMFOR, TST/N 1.537 EMFOR 607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entendimento pacífico nesta Corte que, quando o Recurso não é conhecido por intempestivo, o prazo decadencial tem início quando transcorrido o prazo recursal da decisão Recorrida. No caso, o Recurso de Embargos não foi conhecido, porque intempestivos. Assim, na forma da orientação desta Corte, o prazo decadencial teve início quando decorrido o prazo para interposição de Recurso Extraordinário do Acórdão proferido no Recurso de Revista, ou seja, em 1/8/90.(fls. 77). Logo, tendo sido ajuizada a Rescisória somente em 1997, deve ser declarada a sua decadência, uma vez que decorrido o prazo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2026-10-16T17:26:09.022Z</dcterms:created>
  <dcterms:modified xsi:type="dcterms:W3CDTF">2026-10-16T17:26:09.022Z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