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15/11/1998</w:t>
      </w:r>
    </w:p>
    <w:p/>
    <w:p>
      <w:r>
        <w:t xml:space="preserve">INSUFICIÊNCIA — FALTA DE JUSTIFICAÇÃO DO PORQUÊ DA NÃO ESPECIFICIDADE DOS ARESTOS TRAZIDOS A COTEJO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colenda Primeira Turma desta Corte, ao proferir o v. acórdão de fls. 142/144, complementado às fls. 155/156, não conheceu da preliminar de prescrição suscitada no recurso de revista asseverando que os arestos trazidos a cotejo são inespecíficos. - E também não conheceu do tema concernente ao reconhecimento do vínculo empregatício consignando que os arestos paradigmas são inespecíficos, e a decisão regional está em consonância com o item I do Enunciado nº 331 desta Corte. - Inconformada, a reclamada interpõe o presente recurso de embargos de fls. 158/163, suscitando preliminar de nulidade da v. decisão turmária por negativa de prestação jurisdicional, porquanto não mencionou o porquê da não especificidade dos arestos trazidos a cotejo na revista. Articula violação dos artigos 832 e 896 Consolidado, 535 do CPC, 5º, incisos XXXVI e, LV, e 93, inciso IX, da Carta Magna de 1988. Também aduz conflito com os Enunciados nºs 126 e 296 deste Tribunal, bem como traz arestos (fls. 160/161) como tentativa de demonstração de divergência jurisprudencial. - O recurso foi admitido pelo r. despacho de fl. 165 do juízo de admissibilidade da egrégia Primeira Turma desta Corte, não merecendo contra-razões. - A douta Procuradoria Geral não emite parecer, o que, por conseguinte, faz atrair os termos inciso II do artigo 113, II, do Regimento Interno desta Corte. - É o relatório. - ........................................................................................... - No que tange aos arestos trazidos a cotejo na revista, no tema recursal concern ente ao vínculo empregatício, de fato a v. decisão turmária bem consignou que além de serem eles inespecíficos, o decisório regional julgou em consonância com o item I, do Enunciado nº 331 desta Corte. Não ocorreu assim, a alegada omissão. - Contudo, no que concerne aos arestos trazidos a cotejo quanto ao tema recursal relativo a prescrição, a reclamada logra êxito ao tentar demonstrar violação dos artigos 832 da CLT e 93, inciso IX, da Constituição. Ocorre que a v. decisão turmária, ao apreciar a divergência jurisprudencial desta matéria limitou-se a consignar que estes arestos são inespecíficos pois não enfrentam os mesmos fundamentos do v. decisório regional. - Apreciando estes declaratórios a v. decisão turmária asseverou ter deixado claro o porquê da não especificidade dos arestos. - Pelo que se extrai de tal decisório, na verdade, pode-se constatar uma insuficiência de fundamentação sobre o porquê da não especificidade dos arestos trazidos na revista para tentar demonstrar divergência jurisprudencial. - Note-se que a SDI desta Corte pacificou o entendimento no sentido de que a última oportunidade para se averiguar a especificidade ou não dos arestos confrontantes ocorre perante as turmas desta Corte. Desta forma, é condição sine qua non para uma eventual pretensão recursal futura que esta questão se dirimida no Órgão de origem. - Assim exposto, conheço do recurso por violação dos artigos 832 Consolidado, e 93, inciso IX, da Carta Magna de 1988. Julgado em 16-11-1998 DJ 04-12-98 Arquivo do EMFOR, TST/N 1396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que se extrai de tal decisório, na verdade, pode-se constatar uma insuficiência de fundamentação sobre o porquê da não especificidade dos arestos trazidos na revista para tentar demonstrar divergência jurisprudencial. Demonstração de violação dos artigos 832 da CLT e 93, inciso IX, da Constituição Federal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2026-10-16T17:24:28.539Z</dcterms:created>
  <dcterms:modified xsi:type="dcterms:W3CDTF">2026-10-16T17:24:28.539Z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