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Julgado em: </w:t>
      </w:r>
      <w:r>
        <w:t xml:space="preserve">07/06/1998</w:t>
      </w:r>
    </w:p>
    <w:p/>
    <w:p>
      <w:r>
        <w:t xml:space="preserve">HOMOLOGAÇÃO —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ACORDO EXTRAJUDICIAL. HOMOLOGAÇÃO. JUSTIÇA DO TRABALHO. PRESCINDIBILIDADE. - É desnecessária a homologação, por Tribunal Trabalhista, do acordo extrajudicialmente celebrado, sendo suficiente, para que surta efeitos, sua formalização perante o Ministério do Trabalho (art 614 da CLT e art. 7º, inciso XXXV, da Constituição Federal). . RODC 378451/97 Min. José Z. Calasãs Julgado em 08.06.98 unânime . RODC 209279/95, Ac. 1059/96 Min. Ursulino Santos DJ 04.04.97 unânime . RODC 320037/96, Ac. 1509/97 Min. Antônio Fábio DJ 03.04.98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2026-10-16T16:15:37.117Z</dcterms:created>
  <dcterms:modified xsi:type="dcterms:W3CDTF">2026-10-16T16:15:37.117Z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