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20/04/1987</w:t>
      </w:r>
    </w:p>
    <w:p/>
    <w:p>
      <w:r>
        <w:t xml:space="preserve">DESPACHO QUE LHE NEGA SEGUIMENTO — PRAZO - CINCO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do prazo para interpor agravo de instrumento, em hipótese como a dos autos, foi recentemente enfrentada no Plenário da Corte, quando o Ministro CARLOS MADEIRA relatou a AG. 112.555-1 (AgRg). - Ali, sem votos discrepantes, ficou assentado ser de 5 dias o prazo do agravo no procedimento do recurso extraordinário. - Remetendo-me ao precedente, nego provimento ao agravo regimental. Julgado em 21-04-1987 Arquivo do STF - DJ 22-055-87 - Ementário Nº 1.462-6 Arquivo do Ementário Forense, STF/50 NO MESMO SENTIDO: Agr. Instr. nº 73.300 (AgRg),, STF, Relator: Ministro CUNHA PEIXOTO, ac. de 7-7-1973, in «EMENTÁRIO FORENSE», Nº 395.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cinco dias o prazo para se interpor agravo de instrumento de decisão, que nega trânsito a recurso extraordinário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2026-07-28T01:55:22.690Z</dcterms:created>
  <dcterms:modified xsi:type="dcterms:W3CDTF">2026-07-28T01:55:22.690Z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